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202</w:t>
      </w:r>
    </w:p>
    <w:p>
      <w:r>
        <w:t>Bundesgericht (BGE), 2000-03-30, DE</w:t>
      </w:r>
    </w:p>
    <w:p>
      <w:r>
        <w:rPr>
          <w:b/>
        </w:rPr>
        <w:t xml:space="preserve">Quelle: </w:t>
      </w:r>
      <w:r>
        <w:t>https://mcp.opencaselaw.ch/entscheid/bge_126 II 202</w:t>
      </w:r>
    </w:p>
    <w:p>
      <w:r>
        <w:t>FR: ATF 126 II 202</w:t>
      </w:r>
    </w:p>
    <w:p>
      <w:r>
        <w:t>IT: DTF 126 II 202</w:t>
      </w:r>
    </w:p>
    <w:p>
      <w:pPr>
        <w:pStyle w:val="Heading2"/>
      </w:pPr>
      <w:r>
        <w:t>Regeste</w:t>
      </w:r>
    </w:p>
    <w:p>
      <w:r>
        <w:t>Regeste Art. 16 Abs. 2 und 3 lit. a, Art. 32 Abs. 1 SVG; Art. 4a Abs. 1 lit. a VRV; Art. 31 Abs. 2 VZV; Überschreitung der Höchstgeschwindigkeit innerorts; Führerausweisentzug. Fall eines Arztes, der die Höchstgeschwindigkeit innerorts von 50 km/h um 21 km/h überschritten hat. Mangels leichten Verschuldens Führerausweisentzug von einem Monat bestätigt trotz ungetrübten automobilistischen Leumunds und der durch den Entzug bewirkten Erschwerung der Berufsausübung. Hinweis an den Gesetzgeber, das Massnahmenrecht gegebenenfalls so auszugestalten, dass in derartigen Fällen ein bedingter Ausweisentzug oder eine Verwarnung möglich ist.</w:t>
      </w:r>
    </w:p>
    <w:p>
      <w:pPr>
        <w:pStyle w:val="Heading2"/>
      </w:pPr>
      <w:r>
        <w:t>Erwägungen</w:t>
      </w:r>
    </w:p>
    <w:p>
      <w:r>
        <w:rPr>
          <w:b/>
        </w:rPr>
        <w:t>E. 1</w:t>
      </w:r>
    </w:p>
    <w:p>
      <w:r>
        <w:t>Der Beschwerdeführer macht sinngemäss geltend, die Anordnung des Führerausweisentzuges verletze Bundesrecht. a) Die Geschwindigkeit ist stets den Umständen anzupassen, namentlich den Besonderheiten von Fahrzeug und Ladung sowie den Strassen-, Verkehrs- und Sichtverhältnissen ( Art. 32 Abs. 1 SVG ; SR 741.01). In Ortschaften beträgt die allgemeine Höchstgeschwindigkeit für Fahrzeuge unter günstigen Strassen-, Verkehrs- BGE 126 II 202 S. 204 und Sichtverhältnissen 50 km/h (Art. 4a Abs. 1 lit. a der Verkehrsregelnverordnung [VRV; SR. 741.11]).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 den schweren Fall ( Art. 16 Abs. 3 lit. a SVG ). Nach der Rechtsprechung kann auf den Führerausweisentzug grundsätzlich nur verzichtet werden, wenn der Fall leicht im Sinne von Art. 16 Abs. 2 Satz 2 SVG ist. Bei einem mittelschweren Fall kommt ein Verzicht auf den Führerausweisentzug nur dann in Betracht, wenn besondere Umstände vorliegen, wie sie in BGE 118 Ib 229 gegeben waren ( BGE 123 II 106 E. 2b S. 111). Ob der Fall leicht im Sinne von Art. 16 Abs. 2 Satz 2 SVG ist, beurteilt sich nach dem Verschulden des Fahrzeuglenkers und seinem automobilistischen Leumund; die Schwere der Verkehrsgefährdung ist nur insoweit von Bedeutung, als sie auch verschuldensmässig relevant ist ( BGE 125 II 561 E. 2b). Nach der Rechtsprechung ist bei Überschreitung der allgemeinen Höchstgeschwindigkeit innerorts von 50 km/h um 21 bis 24 km/h ohne Prüfung der konkreten Umstände objektiv zumindest ein mittelschwerer Fall anzunehmen. Diese Rechtsprechung befreit die Entzugsbehörde jedoch nicht von der Pflicht, die Umstände des Einzelfalles genauer zu prüfen. Denn sie hat in allen Fällen des erwähnten Geschwindigkeitsbereichs auch das Ausmass der Gefährdung und des Verschuldens abzuklären und zu gewichten, damit sie entscheiden kann, ob allenfalls ein schwerer Fall ( Art. 16 Abs. 3 lit. a SVG ) vorliegt und welche Entzugsdauer bei einem mittelschweren beziehungsweise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Umgekehrt kommt ein leichter Fall in Betracht, wenn der Lenker aus nachvollziehbaren Gründen gemeint hat, er befinde sich noch nicht oder nicht mehr im BGE 126 II 202 S. 205 Innerortsbereich; unter Umständen entfällt sogar jeder Schuldvorwurf ( BGE 124 II 97 E. 2c). b) Der Beschwerdeführer hat die Höchstgeschwindigkeit innerorts von 50 km/h um 21 km/h überschritten. Es ist somit objektiv zumindest ein mittelschwerer Fall gegeben. Der Beschwerdeführer hatte im kantonalen Verfahren geltend gemacht, er habe gemeint, sich nicht mehr im Innerortsbereich zu befinden. Die Vorinstanz hat den Einwand zurückgewiesen, da der Beschwerdeführer ausgesprochen ortskundig ist. Die Vorinstanz ist eine richterliche Behörde. Ihre Feststellung des Sachverhaltes bindet daher das Bundesgericht, soweit sie den Sachverhalt nicht offensichtlich unrichtig, unvollständig oder unter Verletzung wesentlicher Verfahrensvorschriften festgestellt hat ( Art. 105 Abs. 2 OG ). Dass Letzteres der Fall sei, macht der Beschwerdeführer nicht geltend und ist nicht ersichtlich. Im Gegenteil ergibt sich aus einem bei den Akten befindlichen Schreiben des Beschwerdeführers vom 4. Juli 1999, dass ihm die befahrene Strecke genau bekannt ist. Die Verneinung eines Irrtums über den Innerortsbereich ist somit nicht offensichtlich unrichtig. Wer die Höchstgeschwindigkeit innerorts von 50 km/h um 21 km/h und damit um mehr als 40% überschreitet, tut das in der Regel vorsätzlich, mindestens aber grobfahrlässig. Das Verschulden des Beschwerdeführers wiegt daher nicht leicht. Gemäss Art. 31 Abs. 2 Satz 2 der Verordnung über die Zulassung von Personen und Fahrzeugen zum Strassenverkehr (VZV; SR 741.51) kann nur eine Verwarnung verfügt werden, wenn die Voraussetzungen für den fakultativen Entzug nach Art. 31 Abs. 1 VZV erfüllt sind, der Fall aber unter Berücksichtigung des Verschuldens und des Leumunds als Motorfahrzeugführer als leicht erscheint. Da es an einem leichten Verschulden fehlt, fällt die Annahme eines leichten Falles ausser Betracht, auch wenn der automobilistische Leumund des Beschwerdeführers ungetrübt ist. Besondere Umstände, wie sie in BGE 118 Ib 229 gegeben waren und gegebenenfalls auch bei einem mittelschweren Fall zum Verzicht auf den Ausweisentzug führen können, liegen hier nicht vor. Es handelt sich im Gegenteil um einen Durchschnittsfall. Von einem Führerausweisentzug kann nicht abgesehen werden. Die Dauer des Entzuges hat die Vorinstanz auf das gesetzliche Mindestmass festgesetzt ( Art. 17 Abs. 1 lit. a SVG ). c) Der Beschwerdeführer hat im kantonalen Verfahren geltend gemacht, er fahre seit 43 Jahren unfallfrei. Noch nie habe ihm der Entzug des Führerausweises angedroht werden müssen. Das sei zwar BGE 126 II 202 S. 206 nichts Besonderes, aber doch ein Leistungsausweis. Im Übrigen könne er - er sei Träger des Titels "Facharzt FMH für Allgemeinmedizin" und als Allgemeinpraktiker tätig - ohne Führerausweis in Notfällen seinen ärztlichen Pflichten nicht nachkommen. Wenn man diese Umstände zu Grunde legt, ist einzuräumen, dass der Entzug des Ausweises für die Dauer eines Monats als hart angesehen werden kann. Daran kann jedoch nur der Gesetzgeber etwas ändern, sei es, dass er für Fälle dieser Art auch den bedingten Ausweisentzug vorsieht oder den Anwendungsbereich der Verwarnung bei gutem automobilistischem Leumund ausweitet auf den Bereich des mittelschweren Verschuldens.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